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rPr>
          <w:sz w:val="30"/>
        </w:rPr>
      </w:pPr>
      <w:r>
        <w:rPr>
          <w:rFonts w:hint="eastAsia"/>
          <w:sz w:val="30"/>
          <w:lang w:val="en-US" w:eastAsia="zh-CN"/>
        </w:rPr>
        <w:t xml:space="preserve">        </w:t>
      </w:r>
      <w:r>
        <w:rPr>
          <w:sz w:val="30"/>
        </w:rPr>
        <w:drawing>
          <wp:inline distT="0" distB="0" distL="114300" distR="114300">
            <wp:extent cx="3637280" cy="2456180"/>
            <wp:effectExtent l="0" t="0" r="7620" b="7620"/>
            <wp:docPr id="1" name="图片 1" descr="主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主图"/>
                    <pic:cNvPicPr>
                      <a:picLocks noChangeAspect="1"/>
                    </pic:cNvPicPr>
                  </pic:nvPicPr>
                  <pic:blipFill>
                    <a:blip r:embed="rId6"/>
                    <a:srcRect t="18284" b="14197"/>
                    <a:stretch>
                      <a:fillRect/>
                    </a:stretch>
                  </pic:blipFill>
                  <pic:spPr>
                    <a:xfrm>
                      <a:off x="0" y="0"/>
                      <a:ext cx="3637280" cy="2456180"/>
                    </a:xfrm>
                    <a:prstGeom prst="rect">
                      <a:avLst/>
                    </a:prstGeom>
                  </pic:spPr>
                </pic:pic>
              </a:graphicData>
            </a:graphic>
          </wp:inline>
        </w:drawing>
      </w: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77696" behindDoc="1" locked="0" layoutInCell="1" allowOverlap="1">
                <wp:simplePos x="0" y="0"/>
                <wp:positionH relativeFrom="column">
                  <wp:posOffset>-1270</wp:posOffset>
                </wp:positionH>
                <wp:positionV relativeFrom="paragraph">
                  <wp:posOffset>838200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66pt;height:0.3pt;width:415.15pt;z-index:-251638784;mso-width-relative:page;mso-height-relative:page;" filled="f" stroked="t" coordsize="21600,21600" o:gfxdata="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ZC1q1gAAAAkBAAAPAAAAAAAAAAEAIAAAACIA&#10;AABkcnMvZG93bnJldi54bWxQSwECFAAUAAAACACHTuJANyAK2NIBAABnAwAADgAAAAAAAAABACAA&#10;AAAlAQAAZHJzL2Uyb0RvYy54bWxQSwUGAAAAAAYABgBZAQAAaQUAAAAA&#10;">
                <v:fill on="f" focussize="0,0"/>
                <v:stroke weight="1.5pt" color="#4472C4 [3204]" miterlimit="8" joinstyle="miter"/>
                <v:imagedata o:title=""/>
                <o:lock v:ext="edit" aspectratio="f"/>
              </v:line>
            </w:pict>
          </mc:Fallback>
        </mc:AlternateContent>
      </w:r>
      <w:r>
        <w:rPr>
          <w:sz w:val="30"/>
        </w:rPr>
        <mc:AlternateContent>
          <mc:Choice Requires="wps">
            <w:drawing>
              <wp:anchor distT="0" distB="0" distL="114300" distR="114300" simplePos="0" relativeHeight="251679744" behindDoc="0" locked="0" layoutInCell="1" allowOverlap="1">
                <wp:simplePos x="0" y="0"/>
                <wp:positionH relativeFrom="column">
                  <wp:posOffset>1768475</wp:posOffset>
                </wp:positionH>
                <wp:positionV relativeFrom="paragraph">
                  <wp:posOffset>104140</wp:posOffset>
                </wp:positionV>
                <wp:extent cx="1828800" cy="42735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427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HX-20L恒温金属浴</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9.25pt;margin-top:8.2pt;height:33.65pt;width:144pt;mso-wrap-distance-bottom:0pt;mso-wrap-distance-top:0pt;mso-wrap-style:none;z-index:251679744;mso-width-relative:page;mso-height-relative:page;" filled="f" stroked="f" coordsize="21600,21600" o:gfxdata="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hO1Jnb&#10;AAAACQEAAA8AAAAAAAAAAQAgAAAAIgAAAGRycy9kb3ducmV2LnhtbFBLAQIUABQAAAAIAIdO4kAC&#10;4rZwHQIAABYEAAAOAAAAAAAAAAEAIAAAACoBAABkcnMvZTJvRG9jLnhtbFBLBQYAAAAABgAGAFkB&#10;AAC5BQAAAAA=&#10;">
                <v:fill on="f" focussize="0,0"/>
                <v:stroke on="f" weight="0.5pt"/>
                <v:imagedata o:title=""/>
                <o:lock v:ext="edit" aspectratio="f"/>
                <v:textbox>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HX-20L恒温金属浴</w:t>
                      </w:r>
                    </w:p>
                  </w:txbxContent>
                </v:textbox>
                <w10:wrap type="topAndBottom"/>
              </v:shape>
            </w:pict>
          </mc:Fallback>
        </mc:AlternateContent>
      </w: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cwaHDb&#10;AAAACgEAAA8AAAAAAAAAAQAgAAAAIgAAAGRycy9kb3ducmV2LnhtbFBLAQIUABQAAAAIAIdO4kBP&#10;HOOhHQIAABgEAAAOAAAAAAAAAAEAIAAAACoBAABkcnMvZTJvRG9jLnhtbFBLBQYAAAAABgAGAFkB&#10;AAC5BQAAAAA=&#10;">
                <v:fill on="f" focussize="0,0"/>
                <v:stroke on="f" weight="0.5pt"/>
                <v:imagedata o:title=""/>
                <o:lock v:ext="edit" aspectratio="f"/>
                <v:textbo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widowControl/>
        <w:numPr>
          <w:ilvl w:val="0"/>
          <w:numId w:val="0"/>
        </w:numPr>
        <w:shd w:val="clear" w:color="auto" w:fill="FFFFFF"/>
        <w:spacing w:line="360" w:lineRule="auto"/>
        <w:ind w:leftChars="0" w:firstLine="480" w:firstLineChars="200"/>
        <w:jc w:val="left"/>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干式恒温金属浴采用微电脑控制和半导体制冷技术制造的一款恒温金属浴产品，仪器可配置多种模块，广泛应用于样品的保存与各种酶的保存和反应、核酸和蛋白质的变性处理、PCR反应、电泳的预变性和血清凝固等。</w:t>
      </w:r>
    </w:p>
    <w:p>
      <w:pPr>
        <w:adjustRightInd w:val="0"/>
        <w:spacing w:line="360" w:lineRule="auto"/>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7456"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49024;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VKiStYAAAAIAQAADwAAAAAA&#10;AAABACAAAAAiAAAAZHJzL2Rvd25yZXYueG1sUEsBAhQAFAAAAAgAh07iQHBGzTrcAQAAcQMAAA4A&#10;AAAAAAAAAQAgAAAAJQEAAGRycy9lMm9Eb2MueG1sUEsFBgAAAAAGAAYAWQEAAHMFA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LCD液晶显示，人机友好的触摸式操作界面。</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微电脑温度控制器,控温精确可靠，同时显示实时温度和恒温倒计时间。</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强大的可编程功能实行多点温度点的控制，最多达5个温度点的温度和恒温时间的设置及连续运行</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采用金属模块，可使样品免受污染。</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金属模块能方便更换，便于清洁、消毒。</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温度偏差校准功能； 内置超温保护装置</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自动故障检测及蜂鸣器报警功能；</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外观精美，蓝色液晶显示即时参数信息，触摸式操作界面。</w:t>
      </w:r>
    </w:p>
    <w:p>
      <w:pPr>
        <w:widowControl/>
        <w:shd w:val="clear" w:color="auto" w:fill="FFFFFF"/>
        <w:spacing w:line="360" w:lineRule="auto"/>
        <w:jc w:val="left"/>
        <w:rPr>
          <w:rFonts w:ascii="宋体" w:hAnsi="宋体" w:cs="宋体"/>
          <w:color w:val="2F5597" w:themeColor="accent1" w:themeShade="BF"/>
          <w:sz w:val="24"/>
          <w:szCs w:val="24"/>
        </w:rPr>
      </w:pPr>
    </w:p>
    <w:p>
      <w:pPr>
        <w:pStyle w:val="10"/>
        <w:numPr>
          <w:ilvl w:val="0"/>
          <w:numId w:val="2"/>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技术参数</w:t>
      </w:r>
    </w:p>
    <w:tbl>
      <w:tblPr>
        <w:tblStyle w:val="15"/>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型号</w:t>
            </w:r>
          </w:p>
        </w:tc>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HX-20L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温度范围</w:t>
            </w:r>
          </w:p>
        </w:tc>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-10℃~100℃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时间设置</w:t>
            </w:r>
          </w:p>
        </w:tc>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val="en-US" w:eastAsia="zh-CN" w:bidi="ar"/>
              </w:rPr>
              <w:t>0~99h59min（设置时间为0即连续工作）</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模块温度均匀性</w:t>
            </w:r>
          </w:p>
        </w:tc>
        <w:tc>
          <w:tcPr>
            <w:tcW w:w="4261"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≤±0.3℃</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显示精度</w:t>
            </w:r>
          </w:p>
        </w:tc>
        <w:tc>
          <w:tcPr>
            <w:tcW w:w="4261"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49" w:hRule="exact"/>
        </w:trPr>
        <w:tc>
          <w:tcPr>
            <w:tcW w:w="4261"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控温精度</w:t>
            </w:r>
          </w:p>
        </w:tc>
        <w:tc>
          <w:tcPr>
            <w:tcW w:w="4261"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±0.5℃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升温时间</w:t>
            </w:r>
          </w:p>
        </w:tc>
        <w:tc>
          <w:tcPr>
            <w:tcW w:w="4261"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≤15min(20℃ to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多点运行</w:t>
            </w:r>
          </w:p>
        </w:tc>
        <w:tc>
          <w:tcPr>
            <w:tcW w:w="4261"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支持（最多5点）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加热方式</w:t>
            </w:r>
          </w:p>
        </w:tc>
        <w:tc>
          <w:tcPr>
            <w:tcW w:w="4261"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加热膜</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熔断器</w:t>
            </w:r>
          </w:p>
        </w:tc>
        <w:tc>
          <w:tcPr>
            <w:tcW w:w="4261"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250Ⅴ 3A Φ 5× 20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电源</w:t>
            </w:r>
          </w:p>
        </w:tc>
        <w:tc>
          <w:tcPr>
            <w:tcW w:w="4261"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AC220V/120V,50/60Hz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功率</w:t>
            </w:r>
          </w:p>
        </w:tc>
        <w:tc>
          <w:tcPr>
            <w:tcW w:w="4261"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250W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标配模块</w:t>
            </w:r>
          </w:p>
        </w:tc>
        <w:tc>
          <w:tcPr>
            <w:tcW w:w="4261"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35*2.0ml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可选配模块</w:t>
            </w:r>
          </w:p>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p>
        </w:tc>
        <w:tc>
          <w:tcPr>
            <w:tcW w:w="4261" w:type="dxa"/>
            <w:tcBorders>
              <w:tl2br w:val="nil"/>
              <w:tr2bl w:val="nil"/>
            </w:tcBorders>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A,B,C,D,E,F,G,H,J,K,L,M,N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textDirection w:val="lrTb"/>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2"/>
                <w:rFonts w:ascii="宋体" w:hAnsi="宋体" w:cs="宋体"/>
                <w:b w:val="0"/>
                <w:bCs w:val="0"/>
                <w:color w:val="2F5597" w:themeColor="accent1" w:themeShade="BF"/>
                <w:kern w:val="0"/>
                <w:sz w:val="24"/>
                <w:szCs w:val="24"/>
                <w:shd w:val="clear" w:color="auto" w:fill="FFFFFF"/>
                <w:lang w:bidi="ar"/>
              </w:rPr>
            </w:pPr>
            <w:bookmarkStart w:id="0" w:name="_GoBack" w:colFirst="0" w:colLast="1"/>
            <w:r>
              <w:rPr>
                <w:rStyle w:val="12"/>
                <w:rFonts w:hint="eastAsia" w:ascii="宋体" w:hAnsi="宋体" w:cs="宋体"/>
                <w:b w:val="0"/>
                <w:bCs w:val="0"/>
                <w:i w:val="0"/>
                <w:caps w:val="0"/>
                <w:color w:val="2F5597" w:themeColor="accent1" w:themeShade="BF"/>
                <w:spacing w:val="0"/>
                <w:kern w:val="0"/>
                <w:sz w:val="24"/>
                <w:szCs w:val="24"/>
                <w:shd w:val="clear" w:fill="FFFFFF"/>
                <w:lang w:val="en-US" w:eastAsia="zh-CN" w:bidi="ar"/>
              </w:rPr>
              <w:t>仪器</w:t>
            </w:r>
            <w: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尺寸</w:t>
            </w:r>
          </w:p>
        </w:tc>
        <w:tc>
          <w:tcPr>
            <w:tcW w:w="4261" w:type="dxa"/>
            <w:tcBorders>
              <w:tl2br w:val="nil"/>
              <w:tr2bl w:val="nil"/>
            </w:tcBorders>
            <w:textDirection w:val="lrTb"/>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270</w:t>
            </w:r>
            <w:r>
              <w:rPr>
                <w:rStyle w:val="12"/>
                <w:rFonts w:hint="eastAsia" w:ascii="宋体" w:hAnsi="宋体" w:cs="宋体"/>
                <w:b w:val="0"/>
                <w:bCs w:val="0"/>
                <w:i w:val="0"/>
                <w:caps w:val="0"/>
                <w:color w:val="2F5597" w:themeColor="accent1" w:themeShade="BF"/>
                <w:spacing w:val="0"/>
                <w:kern w:val="0"/>
                <w:sz w:val="24"/>
                <w:szCs w:val="24"/>
                <w:shd w:val="clear" w:fill="FFFFFF"/>
                <w:lang w:val="en-US" w:eastAsia="zh-CN" w:bidi="ar"/>
              </w:rPr>
              <w:t>*</w:t>
            </w:r>
            <w: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190</w:t>
            </w:r>
            <w:r>
              <w:rPr>
                <w:rStyle w:val="12"/>
                <w:rFonts w:hint="eastAsia" w:ascii="宋体" w:hAnsi="宋体" w:cs="宋体"/>
                <w:b w:val="0"/>
                <w:bCs w:val="0"/>
                <w:i w:val="0"/>
                <w:caps w:val="0"/>
                <w:color w:val="2F5597" w:themeColor="accent1" w:themeShade="BF"/>
                <w:spacing w:val="0"/>
                <w:kern w:val="0"/>
                <w:sz w:val="24"/>
                <w:szCs w:val="24"/>
                <w:shd w:val="clear" w:fill="FFFFFF"/>
                <w:lang w:val="en-US" w:eastAsia="zh-CN" w:bidi="ar"/>
              </w:rPr>
              <w:t>*</w:t>
            </w:r>
            <w: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190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textDirection w:val="lrTb"/>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i w:val="0"/>
                <w:caps w:val="0"/>
                <w:color w:val="2F5597" w:themeColor="accent1" w:themeShade="BF"/>
                <w:spacing w:val="0"/>
                <w:kern w:val="0"/>
                <w:sz w:val="24"/>
                <w:szCs w:val="24"/>
                <w:shd w:val="clear" w:fill="FFFFFF"/>
                <w:lang w:val="en-US" w:eastAsia="zh-CN" w:bidi="ar"/>
              </w:rPr>
              <w:t>包装尺寸</w:t>
            </w:r>
          </w:p>
        </w:tc>
        <w:tc>
          <w:tcPr>
            <w:tcW w:w="4261" w:type="dxa"/>
            <w:tcBorders>
              <w:tl2br w:val="nil"/>
              <w:tr2bl w:val="nil"/>
            </w:tcBorders>
            <w:textDirection w:val="lrTb"/>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i w:val="0"/>
                <w:caps w:val="0"/>
                <w:color w:val="2F5597" w:themeColor="accent1" w:themeShade="BF"/>
                <w:spacing w:val="0"/>
                <w:kern w:val="0"/>
                <w:sz w:val="24"/>
                <w:szCs w:val="24"/>
                <w:shd w:val="clear" w:fill="FFFFFF"/>
                <w:lang w:val="en-US" w:eastAsia="zh-CN" w:bidi="ar"/>
              </w:rPr>
              <w:t>335*335*250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textDirection w:val="lrTb"/>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净重</w:t>
            </w:r>
          </w:p>
        </w:tc>
        <w:tc>
          <w:tcPr>
            <w:tcW w:w="4261" w:type="dxa"/>
            <w:tcBorders>
              <w:tl2br w:val="nil"/>
              <w:tr2bl w:val="nil"/>
            </w:tcBorders>
            <w:textDirection w:val="lrTb"/>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i w:val="0"/>
                <w:caps w:val="0"/>
                <w:color w:val="2F5597" w:themeColor="accent1" w:themeShade="BF"/>
                <w:spacing w:val="0"/>
                <w:kern w:val="0"/>
                <w:sz w:val="24"/>
                <w:szCs w:val="24"/>
                <w:shd w:val="clear" w:fill="FFFFFF"/>
                <w:lang w:val="en-US" w:eastAsia="zh-CN" w:bidi="ar"/>
              </w:rPr>
              <w:t>3.5</w:t>
            </w:r>
            <w: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textDirection w:val="lrTb"/>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i w:val="0"/>
                <w:caps w:val="0"/>
                <w:color w:val="2F5597" w:themeColor="accent1" w:themeShade="BF"/>
                <w:spacing w:val="0"/>
                <w:kern w:val="0"/>
                <w:sz w:val="24"/>
                <w:szCs w:val="24"/>
                <w:shd w:val="clear" w:fill="FFFFFF"/>
                <w:lang w:val="en-US" w:eastAsia="zh-CN" w:bidi="ar"/>
              </w:rPr>
              <w:t>毛重</w:t>
            </w:r>
          </w:p>
        </w:tc>
        <w:tc>
          <w:tcPr>
            <w:tcW w:w="4261" w:type="dxa"/>
            <w:tcBorders>
              <w:tl2br w:val="nil"/>
              <w:tr2bl w:val="nil"/>
            </w:tcBorders>
            <w:textDirection w:val="lrTb"/>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i w:val="0"/>
                <w:caps w:val="0"/>
                <w:color w:val="2F5597" w:themeColor="accent1" w:themeShade="BF"/>
                <w:spacing w:val="0"/>
                <w:kern w:val="0"/>
                <w:sz w:val="24"/>
                <w:szCs w:val="24"/>
                <w:shd w:val="clear" w:fill="FFFFFF"/>
                <w:lang w:val="en-US" w:eastAsia="zh-CN" w:bidi="ar"/>
              </w:rPr>
              <w:t>5kg</w:t>
            </w:r>
          </w:p>
        </w:tc>
      </w:tr>
      <w:bookmarkEnd w:id="0"/>
    </w:tbl>
    <w:p>
      <w:pPr>
        <w:pStyle w:val="10"/>
        <w:numPr>
          <w:ilvl w:val="0"/>
          <w:numId w:val="0"/>
        </w:numPr>
        <w:spacing w:before="0" w:beforeAutospacing="0" w:after="0" w:afterAutospacing="0" w:line="360" w:lineRule="auto"/>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10"/>
        <w:numPr>
          <w:ilvl w:val="0"/>
          <w:numId w:val="0"/>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4、</w:t>
      </w: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模块选配</w:t>
      </w: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drawing>
          <wp:inline distT="0" distB="0" distL="0" distR="0">
            <wp:extent cx="5274310" cy="1720215"/>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274310" cy="1720255"/>
                    </a:xfrm>
                    <a:prstGeom prst="rect">
                      <a:avLst/>
                    </a:prstGeom>
                  </pic:spPr>
                </pic:pic>
              </a:graphicData>
            </a:graphic>
          </wp:inline>
        </w:drawing>
      </w:r>
    </w:p>
    <w:p>
      <w:pPr>
        <w:pStyle w:val="10"/>
        <w:spacing w:before="0" w:beforeAutospacing="0" w:after="0" w:afterAutospacing="0" w:line="360" w:lineRule="auto"/>
        <w:ind w:firstLine="720" w:firstLineChars="300"/>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drawing>
          <wp:inline distT="0" distB="0" distL="0" distR="0">
            <wp:extent cx="4133850" cy="10477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4133850" cy="1047750"/>
                    </a:xfrm>
                    <a:prstGeom prst="rect">
                      <a:avLst/>
                    </a:prstGeom>
                  </pic:spPr>
                </pic:pic>
              </a:graphicData>
            </a:graphic>
          </wp:inline>
        </w:drawing>
      </w:r>
    </w:p>
    <w:tbl>
      <w:tblPr>
        <w:tblStyle w:val="15"/>
        <w:tblpPr w:leftFromText="180" w:rightFromText="180" w:vertAnchor="text" w:horzAnchor="page" w:tblpX="1777" w:tblpY="607"/>
        <w:tblOverlap w:val="never"/>
        <w:tblW w:w="8506"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2191"/>
        <w:gridCol w:w="6315"/>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HX-A</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96*0.2ml标准板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HX-B</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54*0.5ml离心管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HX-C</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35*1.5ml离心管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HX-D</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35*2.0ml离心管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HX-E</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20*0.5ml+15*1.5ml离心管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HX-F</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24*直径≤￠12mm试管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HX-G</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32*0.2ml+25*1.5ml离心管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HX-H</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32*0.2ml+10*0.5ml+15*1.5ml离心管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HX-J</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96*0.2ml微孔板(酶标板平板)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HX-K</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24*5ml离心管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HX-L</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12*15ml (最高转速600rpm)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HX-M</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6*50ml (最高转速600rpm)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HX-N</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15*10ml (最高转速600rpm) 100℃</w:t>
            </w:r>
          </w:p>
        </w:tc>
      </w:tr>
    </w:tbl>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hint="eastAsia" w:eastAsia="宋体"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5、装箱清单</w:t>
      </w:r>
    </w:p>
    <w:tbl>
      <w:tblPr>
        <w:tblStyle w:val="15"/>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名称</w:t>
            </w:r>
          </w:p>
        </w:tc>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数量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主机</w:t>
            </w:r>
          </w:p>
        </w:tc>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1台</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电源线</w:t>
            </w:r>
          </w:p>
        </w:tc>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1根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合格证（含保修卡）</w:t>
            </w:r>
          </w:p>
        </w:tc>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说明书</w:t>
            </w:r>
          </w:p>
        </w:tc>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保险丝</w:t>
            </w:r>
          </w:p>
        </w:tc>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2只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标配模块（2ML*</w:t>
            </w:r>
            <w:r>
              <w:rPr>
                <w:rFonts w:hint="eastAsia" w:cs="Times New Roman"/>
                <w:color w:val="2F5597" w:themeColor="accent1" w:themeShade="BF"/>
                <w:kern w:val="2"/>
                <w:sz w:val="24"/>
                <w:szCs w:val="24"/>
                <w:lang w:val="en-US" w:eastAsia="zh-CN" w:bidi="ar-SA"/>
              </w:rPr>
              <w:t>3</w:t>
            </w:r>
            <w:r>
              <w:rPr>
                <w:rFonts w:hint="eastAsia" w:ascii="宋体" w:hAnsi="宋体" w:eastAsia="宋体" w:cs="Times New Roman"/>
                <w:color w:val="2F5597" w:themeColor="accent1" w:themeShade="BF"/>
                <w:kern w:val="2"/>
                <w:sz w:val="24"/>
                <w:szCs w:val="24"/>
                <w:lang w:val="en-US" w:eastAsia="zh-CN" w:bidi="ar-SA"/>
              </w:rPr>
              <w:t>5孔）</w:t>
            </w:r>
          </w:p>
        </w:tc>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cs="Times New Roman"/>
                <w:color w:val="2F5597" w:themeColor="accent1" w:themeShade="BF"/>
                <w:kern w:val="2"/>
                <w:sz w:val="24"/>
                <w:szCs w:val="24"/>
                <w:lang w:val="en-US" w:eastAsia="zh-CN" w:bidi="ar-SA"/>
              </w:rPr>
              <w:t>1块（</w:t>
            </w:r>
            <w:r>
              <w:rPr>
                <w:rFonts w:hint="eastAsia" w:ascii="宋体" w:hAnsi="宋体" w:eastAsia="宋体" w:cs="Times New Roman"/>
                <w:color w:val="2F5597" w:themeColor="accent1" w:themeShade="BF"/>
                <w:kern w:val="2"/>
                <w:sz w:val="24"/>
                <w:szCs w:val="24"/>
                <w:lang w:val="en-US" w:eastAsia="zh-CN" w:bidi="ar-SA"/>
              </w:rPr>
              <w:t>已安装仪器内</w:t>
            </w:r>
            <w:r>
              <w:rPr>
                <w:rFonts w:hint="eastAsia" w:cs="Times New Roman"/>
                <w:color w:val="2F5597" w:themeColor="accent1" w:themeShade="BF"/>
                <w:kern w:val="2"/>
                <w:sz w:val="24"/>
                <w:szCs w:val="24"/>
                <w:lang w:val="en-US" w:eastAsia="zh-CN" w:bidi="ar-SA"/>
              </w:rPr>
              <w:t>）</w:t>
            </w:r>
          </w:p>
        </w:tc>
      </w:tr>
    </w:tbl>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ascii="微软雅黑" w:hAnsi="微软雅黑" w:eastAsia="微软雅黑" w:cs="微软雅黑"/>
          <w:color w:val="474747"/>
          <w:shd w:val="clear" w:color="auto" w:fill="FFFFFF"/>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A0000287" w:usb1="28CF3C52" w:usb2="00000016" w:usb3="00000000" w:csb0="0004001F" w:csb1="00000000"/>
  </w:font>
  <w:font w:name="等线">
    <w:panose1 w:val="02010600030101010101"/>
    <w:charset w:val="86"/>
    <w:family w:val="auto"/>
    <w:pitch w:val="default"/>
    <w:sig w:usb0="A00002BF" w:usb1="38CF7CFA" w:usb2="00000016" w:usb3="00000000" w:csb0="0004000F" w:csb1="00000000"/>
  </w:font>
  <w:font w:name="ISOCP">
    <w:altName w:val="Courier New"/>
    <w:panose1 w:val="00000400000000000000"/>
    <w:charset w:val="00"/>
    <w:family w:val="auto"/>
    <w:pitch w:val="default"/>
    <w:sig w:usb0="00000000" w:usb1="00000000" w:usb2="00000040" w:usb3="00000000" w:csb0="000001FF" w:csb1="00000000"/>
  </w:font>
  <w:font w:name="Proxy 1">
    <w:altName w:val="魂心"/>
    <w:panose1 w:val="00000400000000000000"/>
    <w:charset w:val="00"/>
    <w:family w:val="auto"/>
    <w:pitch w:val="default"/>
    <w:sig w:usb0="00000000" w:usb1="00000000" w:usb2="00000000" w:usb3="00000000" w:csb0="000001FF" w:csb1="00000000"/>
  </w:font>
  <w:font w:name="隶书">
    <w:panose1 w:val="0201050906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Monospac821 BT">
    <w:altName w:val="Teacher_A"/>
    <w:panose1 w:val="020B0609020202020204"/>
    <w:charset w:val="00"/>
    <w:family w:val="modern"/>
    <w:pitch w:val="default"/>
    <w:sig w:usb0="00000000" w:usb1="00000000" w:usb2="00000000" w:usb3="00000000" w:csb0="0000001B" w:csb1="00000000"/>
  </w:font>
  <w:font w:name="Webdings">
    <w:panose1 w:val="05030102010509060703"/>
    <w:charset w:val="02"/>
    <w:family w:val="roman"/>
    <w:pitch w:val="default"/>
    <w:sig w:usb0="00000000" w:usb1="00000000" w:usb2="00000000" w:usb3="00000000" w:csb0="80000000" w:csb1="00000000"/>
  </w:font>
  <w:font w:name="Wingdings 3">
    <w:panose1 w:val="05040102010807070707"/>
    <w:charset w:val="02"/>
    <w:family w:val="roman"/>
    <w:pitch w:val="default"/>
    <w:sig w:usb0="00000000" w:usb1="00000000" w:usb2="00000000" w:usb3="00000000" w:csb0="80000000" w:csb1="00000000"/>
  </w:font>
  <w:font w:name="Teacher_A">
    <w:panose1 w:val="020B0600000000000000"/>
    <w:charset w:val="00"/>
    <w:family w:val="auto"/>
    <w:pitch w:val="default"/>
    <w:sig w:usb0="00000011" w:usb1="00000000" w:usb2="00000000" w:usb3="00000000" w:csb0="4000009F" w:csb1="DFD70000"/>
  </w:font>
  <w:font w:name="魂心">
    <w:panose1 w:val="02000009000000000000"/>
    <w:charset w:val="80"/>
    <w:family w:val="auto"/>
    <w:pitch w:val="default"/>
    <w:sig w:usb0="A1007AEF" w:usb1="F9DF7CFB" w:usb2="0000001E" w:usb3="00000000" w:csb0="20020000" w:csb1="00000000"/>
  </w:font>
  <w:font w:name="SourceHanSansCN-Light">
    <w:altName w:val="宋体"/>
    <w:panose1 w:val="00000000000000000000"/>
    <w:charset w:val="86"/>
    <w:family w:val="auto"/>
    <w:pitch w:val="default"/>
    <w:sig w:usb0="00000000" w:usb1="00000000" w:usb2="00000000" w:usb3="00000000" w:csb0="00040000" w:csb1="00000000"/>
  </w:font>
  <w:font w:name="思源黑体 CN Heavy">
    <w:panose1 w:val="020B0A00000000000000"/>
    <w:charset w:val="86"/>
    <w:family w:val="auto"/>
    <w:pitch w:val="default"/>
    <w:sig w:usb0="20000003" w:usb1="2ADF3C10" w:usb2="00000016" w:usb3="00000000" w:csb0="60060107" w:csb1="00000000"/>
  </w:font>
  <w:font w:name="微软简中圆">
    <w:panose1 w:val="00000000000000000000"/>
    <w:charset w:val="00"/>
    <w:family w:val="auto"/>
    <w:pitch w:val="default"/>
    <w:sig w:usb0="00000000" w:usb1="00000000" w:usb2="00000000" w:usb3="00000000" w:csb0="00000000" w:csb1="00000000"/>
  </w:font>
  <w:font w:name="中国建行标准字GBK">
    <w:panose1 w:val="03000509000000000000"/>
    <w:charset w:val="86"/>
    <w:family w:val="auto"/>
    <w:pitch w:val="default"/>
    <w:sig w:usb0="00000001" w:usb1="080E0000" w:usb2="00000000" w:usb3="00000000" w:csb0="00040000" w:csb1="00000000"/>
  </w:font>
  <w:font w:name="中國龍創藝體">
    <w:panose1 w:val="02010609000101010101"/>
    <w:charset w:val="00"/>
    <w:family w:val="auto"/>
    <w:pitch w:val="default"/>
    <w:sig w:usb0="00000000" w:usb1="00000000" w:usb2="00000000" w:usb3="00000000" w:csb0="00000000" w:csb1="00000000"/>
  </w:font>
  <w:font w:name="中國龍新藝體">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center"/>
      <w:rPr>
        <w:b/>
        <w:bCs/>
        <w:color w:val="203864" w:themeColor="accent1" w:themeShade="80"/>
        <w:sz w:val="32"/>
        <w:szCs w:val="32"/>
      </w:rPr>
    </w:pPr>
  </w:p>
  <w:p>
    <w:pPr>
      <w:pStyle w:val="9"/>
      <w:pBdr>
        <w:bottom w:val="none" w:color="auto" w:sz="0" w:space="1"/>
      </w:pBdr>
      <w:tabs>
        <w:tab w:val="center" w:pos="4153"/>
        <w:tab w:val="right" w:pos="8306"/>
      </w:tabs>
      <w:rPr>
        <w:b/>
        <w:color w:val="203864" w:themeColor="accent1" w:themeShade="80"/>
        <w:sz w:val="30"/>
        <w:szCs w:val="30"/>
      </w:rPr>
    </w:pPr>
    <w:r>
      <w:rPr>
        <w:rFonts w:hint="eastAsia"/>
        <w:b/>
        <w:color w:val="203864" w:themeColor="accent1" w:themeShade="80"/>
        <w:sz w:val="30"/>
        <w:szCs w:val="30"/>
      </w:rPr>
      <w:t xml:space="preserve"> 上海沪析实业有限公司</w:t>
    </w:r>
  </w:p>
  <w:p>
    <w:pPr>
      <w:pStyle w:val="9"/>
      <w:pBdr>
        <w:bottom w:val="none" w:color="auto" w:sz="0" w:space="1"/>
      </w:pBdr>
      <w:tabs>
        <w:tab w:val="center" w:pos="4153"/>
        <w:tab w:val="right" w:pos="8306"/>
      </w:tabs>
      <w:ind w:firstLine="2530" w:firstLineChars="1400"/>
      <w:jc w:val="both"/>
      <w:rPr>
        <w:b/>
        <w:color w:val="203864" w:themeColor="accent1" w:themeShade="80"/>
      </w:rPr>
    </w:pPr>
    <w:r>
      <w:rPr>
        <w:rFonts w:hint="eastAsia"/>
        <w:b/>
        <w:bCs/>
        <w:color w:val="203864" w:themeColor="accent1" w:themeShade="80"/>
        <w:kern w:val="0"/>
      </w:rPr>
      <w:t xml:space="preserve">SHANGHAI HUXI INDUSTRIAL </w:t>
    </w:r>
    <w:r>
      <w:rPr>
        <w:b/>
        <w:bCs/>
        <w:color w:val="203864" w:themeColor="accent1" w:themeShade="80"/>
        <w:kern w:val="0"/>
      </w:rPr>
      <w:t>CO.,LTD.</w:t>
    </w:r>
  </w:p>
  <w:p>
    <w:pPr>
      <w:jc w:val="center"/>
      <w:rPr>
        <w:sz w:val="24"/>
        <w:szCs w:val="24"/>
      </w:rPr>
    </w:pPr>
  </w:p>
  <w:p>
    <w:pPr>
      <w:pBdr>
        <w:bottom w:val="dotDash" w:color="003366"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37D761"/>
    <w:multiLevelType w:val="singleLevel"/>
    <w:tmpl w:val="8737D761"/>
    <w:lvl w:ilvl="0" w:tentative="0">
      <w:start w:val="1"/>
      <w:numFmt w:val="decimal"/>
      <w:lvlText w:val="%1."/>
      <w:lvlJc w:val="left"/>
      <w:pPr>
        <w:ind w:left="425" w:hanging="425"/>
      </w:pPr>
      <w:rPr>
        <w:rFonts w:hint="default"/>
      </w:rPr>
    </w:lvl>
  </w:abstractNum>
  <w:abstractNum w:abstractNumId="1">
    <w:nsid w:val="EA7F499F"/>
    <w:multiLevelType w:val="singleLevel"/>
    <w:tmpl w:val="EA7F499F"/>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43CBD"/>
    <w:rsid w:val="003775A9"/>
    <w:rsid w:val="003C16A6"/>
    <w:rsid w:val="003D498D"/>
    <w:rsid w:val="004A2EE0"/>
    <w:rsid w:val="004E7E09"/>
    <w:rsid w:val="00535C95"/>
    <w:rsid w:val="00580C1D"/>
    <w:rsid w:val="00596893"/>
    <w:rsid w:val="005A5BBC"/>
    <w:rsid w:val="0069114D"/>
    <w:rsid w:val="00741072"/>
    <w:rsid w:val="007650E0"/>
    <w:rsid w:val="007871EB"/>
    <w:rsid w:val="007A51F4"/>
    <w:rsid w:val="00854961"/>
    <w:rsid w:val="008B2ECB"/>
    <w:rsid w:val="00955DE4"/>
    <w:rsid w:val="0098299C"/>
    <w:rsid w:val="00990FAD"/>
    <w:rsid w:val="009E7CF6"/>
    <w:rsid w:val="009F0532"/>
    <w:rsid w:val="00A4672B"/>
    <w:rsid w:val="00A94E0D"/>
    <w:rsid w:val="00AA4A1B"/>
    <w:rsid w:val="00AA5CBF"/>
    <w:rsid w:val="00B61697"/>
    <w:rsid w:val="00B839ED"/>
    <w:rsid w:val="00B87628"/>
    <w:rsid w:val="00BA07A4"/>
    <w:rsid w:val="00BD42F1"/>
    <w:rsid w:val="00C47428"/>
    <w:rsid w:val="00C83139"/>
    <w:rsid w:val="00DA0404"/>
    <w:rsid w:val="00DA6A09"/>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7553E41"/>
    <w:rsid w:val="07D60F50"/>
    <w:rsid w:val="091F1204"/>
    <w:rsid w:val="096964D4"/>
    <w:rsid w:val="0A184A29"/>
    <w:rsid w:val="0A366F57"/>
    <w:rsid w:val="0A965B96"/>
    <w:rsid w:val="0B1F4D88"/>
    <w:rsid w:val="10C02CE0"/>
    <w:rsid w:val="10E60B82"/>
    <w:rsid w:val="11385EB2"/>
    <w:rsid w:val="117D1E52"/>
    <w:rsid w:val="11B80688"/>
    <w:rsid w:val="12F323D9"/>
    <w:rsid w:val="13377D20"/>
    <w:rsid w:val="13EE3B59"/>
    <w:rsid w:val="162626F1"/>
    <w:rsid w:val="163338FF"/>
    <w:rsid w:val="167836D1"/>
    <w:rsid w:val="16855545"/>
    <w:rsid w:val="16A71820"/>
    <w:rsid w:val="18711AC3"/>
    <w:rsid w:val="1886336C"/>
    <w:rsid w:val="1976192B"/>
    <w:rsid w:val="1A4C7833"/>
    <w:rsid w:val="1AB80B3F"/>
    <w:rsid w:val="1B871C86"/>
    <w:rsid w:val="1C4A28F1"/>
    <w:rsid w:val="1C8D4EFF"/>
    <w:rsid w:val="1E486378"/>
    <w:rsid w:val="1F995798"/>
    <w:rsid w:val="20302E3C"/>
    <w:rsid w:val="2159429D"/>
    <w:rsid w:val="216A23E2"/>
    <w:rsid w:val="22E601DB"/>
    <w:rsid w:val="23243285"/>
    <w:rsid w:val="241D3C4F"/>
    <w:rsid w:val="246A0583"/>
    <w:rsid w:val="24AE6CFC"/>
    <w:rsid w:val="295A600F"/>
    <w:rsid w:val="2A602115"/>
    <w:rsid w:val="2A847618"/>
    <w:rsid w:val="2AC31D90"/>
    <w:rsid w:val="2BE36FED"/>
    <w:rsid w:val="2C2B4AD0"/>
    <w:rsid w:val="2C936415"/>
    <w:rsid w:val="2CBC35B2"/>
    <w:rsid w:val="2D270418"/>
    <w:rsid w:val="2D9E504D"/>
    <w:rsid w:val="2DBB4423"/>
    <w:rsid w:val="2E5E5B1C"/>
    <w:rsid w:val="30667F5E"/>
    <w:rsid w:val="30B860C1"/>
    <w:rsid w:val="32494755"/>
    <w:rsid w:val="34121BAC"/>
    <w:rsid w:val="348346E6"/>
    <w:rsid w:val="348E7F12"/>
    <w:rsid w:val="35B92EB0"/>
    <w:rsid w:val="36585CBC"/>
    <w:rsid w:val="36E10A24"/>
    <w:rsid w:val="3A045A6B"/>
    <w:rsid w:val="3A542ACC"/>
    <w:rsid w:val="3ABF1760"/>
    <w:rsid w:val="3C5E63A4"/>
    <w:rsid w:val="3DA6127B"/>
    <w:rsid w:val="3DEB6E30"/>
    <w:rsid w:val="3E2B5E06"/>
    <w:rsid w:val="3E4561DF"/>
    <w:rsid w:val="40764144"/>
    <w:rsid w:val="410B44C7"/>
    <w:rsid w:val="43EA5F2F"/>
    <w:rsid w:val="442711AA"/>
    <w:rsid w:val="45227B4C"/>
    <w:rsid w:val="45E369C8"/>
    <w:rsid w:val="46F410B6"/>
    <w:rsid w:val="498B526A"/>
    <w:rsid w:val="4A527F2C"/>
    <w:rsid w:val="4A6E6488"/>
    <w:rsid w:val="4AA4627F"/>
    <w:rsid w:val="4ADC76DB"/>
    <w:rsid w:val="4CA81950"/>
    <w:rsid w:val="4D4E77F2"/>
    <w:rsid w:val="4E931B10"/>
    <w:rsid w:val="4FD73045"/>
    <w:rsid w:val="51C771E3"/>
    <w:rsid w:val="51F9487C"/>
    <w:rsid w:val="529448BA"/>
    <w:rsid w:val="52EE746C"/>
    <w:rsid w:val="5452446D"/>
    <w:rsid w:val="54D77948"/>
    <w:rsid w:val="563C7D3B"/>
    <w:rsid w:val="567A4548"/>
    <w:rsid w:val="56B9535A"/>
    <w:rsid w:val="576F688D"/>
    <w:rsid w:val="5826783E"/>
    <w:rsid w:val="58926505"/>
    <w:rsid w:val="58C6092D"/>
    <w:rsid w:val="58F34817"/>
    <w:rsid w:val="591C6583"/>
    <w:rsid w:val="594D1214"/>
    <w:rsid w:val="59AB3574"/>
    <w:rsid w:val="5BDA755D"/>
    <w:rsid w:val="5DDC6E97"/>
    <w:rsid w:val="607225C9"/>
    <w:rsid w:val="608B6872"/>
    <w:rsid w:val="61FA2450"/>
    <w:rsid w:val="624F31B6"/>
    <w:rsid w:val="626F460D"/>
    <w:rsid w:val="62737F03"/>
    <w:rsid w:val="62BD7680"/>
    <w:rsid w:val="63B80222"/>
    <w:rsid w:val="64BB3B0A"/>
    <w:rsid w:val="65173864"/>
    <w:rsid w:val="664B2BD1"/>
    <w:rsid w:val="66B97FC9"/>
    <w:rsid w:val="67074C35"/>
    <w:rsid w:val="67B86FD5"/>
    <w:rsid w:val="68CC736B"/>
    <w:rsid w:val="69A05A18"/>
    <w:rsid w:val="6AB4227F"/>
    <w:rsid w:val="6B3B6611"/>
    <w:rsid w:val="6B5251F4"/>
    <w:rsid w:val="6B6C7258"/>
    <w:rsid w:val="6BA7011A"/>
    <w:rsid w:val="6DFB560B"/>
    <w:rsid w:val="6F17421F"/>
    <w:rsid w:val="6F7B3153"/>
    <w:rsid w:val="6F975B11"/>
    <w:rsid w:val="71E561F0"/>
    <w:rsid w:val="73587C07"/>
    <w:rsid w:val="737F1A45"/>
    <w:rsid w:val="73974732"/>
    <w:rsid w:val="74A64C8E"/>
    <w:rsid w:val="75EA64FF"/>
    <w:rsid w:val="76E353C5"/>
    <w:rsid w:val="77C15694"/>
    <w:rsid w:val="78323E75"/>
    <w:rsid w:val="78F84331"/>
    <w:rsid w:val="79FB6B36"/>
    <w:rsid w:val="7A61311F"/>
    <w:rsid w:val="7A664B08"/>
    <w:rsid w:val="7AA2317C"/>
    <w:rsid w:val="7B965710"/>
    <w:rsid w:val="7C563079"/>
    <w:rsid w:val="7CAD3559"/>
    <w:rsid w:val="7D80600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1">
    <w:name w:val="Default Paragraph Font"/>
    <w:unhideWhenUsed/>
    <w:qFormat/>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6">
    <w:name w:val="Light Grid Accent 5"/>
    <w:basedOn w:val="14"/>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customStyle="1" w:styleId="17">
    <w:name w:val="页脚 Char"/>
    <w:basedOn w:val="11"/>
    <w:link w:val="8"/>
    <w:qFormat/>
    <w:uiPriority w:val="99"/>
    <w:rPr>
      <w:sz w:val="18"/>
      <w:szCs w:val="18"/>
    </w:rPr>
  </w:style>
  <w:style w:type="character" w:customStyle="1" w:styleId="18">
    <w:name w:val="标题 1 Char"/>
    <w:basedOn w:val="11"/>
    <w:link w:val="2"/>
    <w:qFormat/>
    <w:uiPriority w:val="9"/>
    <w:rPr>
      <w:rFonts w:ascii="宋体" w:hAnsi="宋体" w:eastAsia="宋体" w:cs="宋体"/>
      <w:b/>
      <w:bCs/>
      <w:kern w:val="36"/>
      <w:sz w:val="48"/>
      <w:szCs w:val="48"/>
    </w:rPr>
  </w:style>
  <w:style w:type="character" w:customStyle="1" w:styleId="19">
    <w:name w:val="批注框文本 Char"/>
    <w:basedOn w:val="11"/>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DF7A1-373E-4662-9ED0-D081B594BA20}">
  <ds:schemaRefs/>
</ds:datastoreItem>
</file>

<file path=docProps/app.xml><?xml version="1.0" encoding="utf-8"?>
<Properties xmlns="http://schemas.openxmlformats.org/officeDocument/2006/extended-properties" xmlns:vt="http://schemas.openxmlformats.org/officeDocument/2006/docPropsVTypes">
  <Template>Normal</Template>
  <Pages>4</Pages>
  <Words>150</Words>
  <Characters>856</Characters>
  <Lines>7</Lines>
  <Paragraphs>2</Paragraphs>
  <ScaleCrop>false</ScaleCrop>
  <LinksUpToDate>false</LinksUpToDate>
  <CharactersWithSpaces>1004</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张慧慧</cp:lastModifiedBy>
  <dcterms:modified xsi:type="dcterms:W3CDTF">2022-04-19T08:27:20Z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